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i w:val="0"/>
          <w:color w:val="1F4E3D"/>
          <w:sz w:val="32"/>
        </w:rPr>
        <w:t>Princess May Primary School</w:t>
      </w:r>
    </w:p>
    <w:p>
      <w:pPr>
        <w:spacing w:after="40"/>
      </w:pPr>
      <w:r>
        <w:rPr>
          <w:b/>
          <w:i w:val="0"/>
          <w:sz w:val="26"/>
        </w:rPr>
        <w:t>Governing board register of business and pecuniary interests</w:t>
      </w:r>
    </w:p>
    <w:p>
      <w:pPr>
        <w:spacing w:after="200"/>
      </w:pPr>
      <w:r>
        <w:rPr>
          <w:b w:val="0"/>
          <w:i w:val="0"/>
          <w:sz w:val="20"/>
        </w:rPr>
        <w:t>Academic year 2025–26 and governors serving in 2026–27</w:t>
      </w:r>
    </w:p>
    <w:p>
      <w:pPr>
        <w:spacing w:after="200"/>
      </w:pPr>
      <w:r>
        <w:rPr>
          <w:b w:val="0"/>
          <w:i w:val="0"/>
          <w:sz w:val="20"/>
        </w:rPr>
        <w:t>Governors must declare any business interests, governance roles in other schools or trusts, and any relationships with members of school staff (including spouses, partners and close relatives). We publish this register for everyone who has served as a governor in the past 12 months. The register is reviewed every year and governors tell the governance professional about any change as it arises.</w:t>
      </w:r>
    </w:p>
    <w:p>
      <w:pPr>
        <w:spacing w:after="80"/>
      </w:pPr>
      <w:r>
        <w:rPr>
          <w:b/>
          <w:i w:val="0"/>
          <w:color w:val="1F4E3D"/>
          <w:sz w:val="22"/>
        </w:rPr>
        <w:t>Current governors</w:t>
      </w:r>
    </w:p>
    <w:tbl>
      <w:tblPr>
        <w:tblStyle w:val="TableGrid"/>
        <w:tblW w:type="auto" w:w="0"/>
        <w:tblLook w:firstColumn="1" w:firstRow="1" w:lastColumn="0" w:lastRow="0" w:noHBand="0" w:noVBand="1" w:val="04A0"/>
      </w:tblPr>
      <w:tblGrid>
        <w:gridCol w:w="1725"/>
        <w:gridCol w:w="1725"/>
        <w:gridCol w:w="1725"/>
        <w:gridCol w:w="1725"/>
        <w:gridCol w:w="1725"/>
        <w:gridCol w:w="1725"/>
        <w:gridCol w:w="1725"/>
        <w:gridCol w:w="1725"/>
      </w:tblGrid>
      <w:tr>
        <w:tc>
          <w:tcPr>
            <w:tcW w:type="dxa" w:w="1814"/>
            <w:shd w:val="clear" w:color="auto" w:fill="1F4E3D"/>
          </w:tcPr>
          <w:p>
            <w:r/>
            <w:r>
              <w:rPr>
                <w:b/>
                <w:color w:val="FFFFFF"/>
                <w:sz w:val="18"/>
              </w:rPr>
              <w:t>Governor</w:t>
            </w:r>
          </w:p>
        </w:tc>
        <w:tc>
          <w:tcPr>
            <w:tcW w:type="dxa" w:w="2381"/>
            <w:shd w:val="clear" w:color="auto" w:fill="1F4E3D"/>
          </w:tcPr>
          <w:p>
            <w:r/>
            <w:r>
              <w:rPr>
                <w:b/>
                <w:color w:val="FFFFFF"/>
                <w:sz w:val="18"/>
              </w:rPr>
              <w:t>Category / role</w:t>
            </w:r>
          </w:p>
        </w:tc>
        <w:tc>
          <w:tcPr>
            <w:tcW w:type="dxa" w:w="2041"/>
            <w:shd w:val="clear" w:color="auto" w:fill="1F4E3D"/>
          </w:tcPr>
          <w:p>
            <w:r/>
            <w:r>
              <w:rPr>
                <w:b/>
                <w:color w:val="FFFFFF"/>
                <w:sz w:val="18"/>
              </w:rPr>
              <w:t>Appointed by</w:t>
            </w:r>
          </w:p>
        </w:tc>
        <w:tc>
          <w:tcPr>
            <w:tcW w:type="dxa" w:w="2154"/>
            <w:shd w:val="clear" w:color="auto" w:fill="1F4E3D"/>
          </w:tcPr>
          <w:p>
            <w:r/>
            <w:r>
              <w:rPr>
                <w:b/>
                <w:color w:val="FFFFFF"/>
                <w:sz w:val="18"/>
              </w:rPr>
              <w:t>Term of office</w:t>
            </w:r>
          </w:p>
        </w:tc>
        <w:tc>
          <w:tcPr>
            <w:tcW w:type="dxa" w:w="1814"/>
            <w:shd w:val="clear" w:color="auto" w:fill="1F4E3D"/>
          </w:tcPr>
          <w:p>
            <w:r/>
            <w:r>
              <w:rPr>
                <w:b/>
                <w:color w:val="FFFFFF"/>
                <w:sz w:val="18"/>
              </w:rPr>
              <w:t>Business and financial interests</w:t>
            </w:r>
          </w:p>
        </w:tc>
        <w:tc>
          <w:tcPr>
            <w:tcW w:type="dxa" w:w="1814"/>
            <w:shd w:val="clear" w:color="auto" w:fill="1F4E3D"/>
          </w:tcPr>
          <w:p>
            <w:r/>
            <w:r>
              <w:rPr>
                <w:b/>
                <w:color w:val="FFFFFF"/>
                <w:sz w:val="18"/>
              </w:rPr>
              <w:t>Governance roles in other schools or trusts</w:t>
            </w:r>
          </w:p>
        </w:tc>
        <w:tc>
          <w:tcPr>
            <w:tcW w:type="dxa" w:w="1814"/>
            <w:shd w:val="clear" w:color="auto" w:fill="1F4E3D"/>
          </w:tcPr>
          <w:p>
            <w:r/>
            <w:r>
              <w:rPr>
                <w:b/>
                <w:color w:val="FFFFFF"/>
                <w:sz w:val="18"/>
              </w:rPr>
              <w:t>Relationships with school staff</w:t>
            </w:r>
          </w:p>
        </w:tc>
        <w:tc>
          <w:tcPr>
            <w:tcW w:type="dxa" w:w="1247"/>
            <w:shd w:val="clear" w:color="auto" w:fill="1F4E3D"/>
          </w:tcPr>
          <w:p>
            <w:r/>
            <w:r>
              <w:rPr>
                <w:b/>
                <w:color w:val="FFFFFF"/>
                <w:sz w:val="18"/>
              </w:rPr>
              <w:t>Date of declaration</w:t>
            </w:r>
          </w:p>
        </w:tc>
      </w:tr>
      <w:tr>
        <w:tc>
          <w:tcPr>
            <w:tcW w:type="dxa" w:w="1814"/>
          </w:tcPr>
          <w:p>
            <w:r/>
            <w:r>
              <w:rPr>
                <w:b/>
                <w:sz w:val="18"/>
              </w:rPr>
              <w:t>Kristofer McGhee</w:t>
            </w:r>
          </w:p>
        </w:tc>
        <w:tc>
          <w:tcPr>
            <w:tcW w:type="dxa" w:w="2381"/>
          </w:tcPr>
          <w:p>
            <w:r/>
            <w:r>
              <w:rPr>
                <w:sz w:val="18"/>
              </w:rPr>
              <w:t>Local authority governor; Chair; Chair of Learning and Development Committee</w:t>
            </w:r>
          </w:p>
        </w:tc>
        <w:tc>
          <w:tcPr>
            <w:tcW w:type="dxa" w:w="2041"/>
          </w:tcPr>
          <w:p>
            <w:r/>
            <w:r>
              <w:rPr>
                <w:sz w:val="18"/>
              </w:rPr>
              <w:t>Nominated by the local authority, appointed by the governing body</w:t>
            </w:r>
          </w:p>
        </w:tc>
        <w:tc>
          <w:tcPr>
            <w:tcW w:type="dxa" w:w="2154"/>
          </w:tcPr>
          <w:p>
            <w:r/>
            <w:r>
              <w:rPr>
                <w:sz w:val="18"/>
              </w:rPr>
              <w:t>1 July 2026 to 1 July 2030 (first appointed 2007)</w:t>
            </w:r>
          </w:p>
        </w:tc>
        <w:tc>
          <w:tcPr>
            <w:tcW w:type="dxa" w:w="1814"/>
          </w:tcPr>
          <w:p>
            <w:r/>
            <w:r>
              <w:rPr>
                <w:sz w:val="18"/>
              </w:rPr>
              <w:t>None declared</w:t>
            </w:r>
          </w:p>
        </w:tc>
        <w:tc>
          <w:tcPr>
            <w:tcW w:type="dxa" w:w="1814"/>
          </w:tcPr>
          <w:p>
            <w:r/>
            <w:r>
              <w:rPr>
                <w:sz w:val="18"/>
              </w:rPr>
              <w:t>None declared</w:t>
            </w:r>
          </w:p>
        </w:tc>
        <w:tc>
          <w:tcPr>
            <w:tcW w:type="dxa" w:w="1814"/>
          </w:tcPr>
          <w:p>
            <w:r/>
            <w:r>
              <w:rPr>
                <w:sz w:val="18"/>
              </w:rPr>
              <w:t>None declared</w:t>
            </w:r>
          </w:p>
        </w:tc>
        <w:tc>
          <w:tcPr>
            <w:tcW w:type="dxa" w:w="1247"/>
          </w:tcPr>
          <w:p>
            <w:r/>
            <w:r>
              <w:rPr>
                <w:sz w:val="18"/>
              </w:rPr>
              <w:t>June 2026</w:t>
            </w:r>
          </w:p>
        </w:tc>
      </w:tr>
      <w:tr>
        <w:tc>
          <w:tcPr>
            <w:tcW w:type="dxa" w:w="1814"/>
            <w:shd w:val="clear" w:color="auto" w:fill="E8F0EC"/>
          </w:tcPr>
          <w:p>
            <w:r/>
            <w:r>
              <w:rPr>
                <w:b/>
                <w:sz w:val="18"/>
              </w:rPr>
              <w:t>Louise Allen</w:t>
            </w:r>
          </w:p>
        </w:tc>
        <w:tc>
          <w:tcPr>
            <w:tcW w:type="dxa" w:w="2381"/>
            <w:shd w:val="clear" w:color="auto" w:fill="E8F0EC"/>
          </w:tcPr>
          <w:p>
            <w:r/>
            <w:r>
              <w:rPr>
                <w:sz w:val="18"/>
              </w:rPr>
              <w:t>Co-opted governor; Vice-chair; Chair of Finance, Premises and Staff Committee</w:t>
            </w:r>
          </w:p>
        </w:tc>
        <w:tc>
          <w:tcPr>
            <w:tcW w:type="dxa" w:w="2041"/>
            <w:shd w:val="clear" w:color="auto" w:fill="E8F0EC"/>
          </w:tcPr>
          <w:p>
            <w:r/>
            <w:r>
              <w:rPr>
                <w:sz w:val="18"/>
              </w:rPr>
              <w:t>Governing body</w:t>
            </w:r>
          </w:p>
        </w:tc>
        <w:tc>
          <w:tcPr>
            <w:tcW w:type="dxa" w:w="2154"/>
            <w:shd w:val="clear" w:color="auto" w:fill="E8F0EC"/>
          </w:tcPr>
          <w:p>
            <w:r/>
            <w:r>
              <w:rPr>
                <w:sz w:val="18"/>
              </w:rPr>
              <w:t>1 October 2026 to 1 October 2030 (first appointed 2020)</w:t>
            </w:r>
          </w:p>
        </w:tc>
        <w:tc>
          <w:tcPr>
            <w:tcW w:type="dxa" w:w="1814"/>
            <w:shd w:val="clear" w:color="auto" w:fill="E8F0EC"/>
          </w:tcPr>
          <w:p>
            <w:r/>
            <w:r>
              <w:rPr>
                <w:sz w:val="18"/>
              </w:rPr>
              <w:t>None declared</w:t>
            </w:r>
          </w:p>
        </w:tc>
        <w:tc>
          <w:tcPr>
            <w:tcW w:type="dxa" w:w="1814"/>
            <w:shd w:val="clear" w:color="auto" w:fill="E8F0EC"/>
          </w:tcPr>
          <w:p>
            <w:r/>
            <w:r>
              <w:rPr>
                <w:sz w:val="18"/>
              </w:rPr>
              <w:t>None declared</w:t>
            </w:r>
          </w:p>
        </w:tc>
        <w:tc>
          <w:tcPr>
            <w:tcW w:type="dxa" w:w="1814"/>
            <w:shd w:val="clear" w:color="auto" w:fill="E8F0EC"/>
          </w:tcPr>
          <w:p>
            <w:r/>
            <w:r>
              <w:rPr>
                <w:sz w:val="18"/>
              </w:rPr>
              <w:t>None declared</w:t>
            </w:r>
          </w:p>
        </w:tc>
        <w:tc>
          <w:tcPr>
            <w:tcW w:type="dxa" w:w="1247"/>
            <w:shd w:val="clear" w:color="auto" w:fill="E8F0EC"/>
          </w:tcPr>
          <w:p>
            <w:r/>
            <w:r>
              <w:rPr>
                <w:sz w:val="18"/>
              </w:rPr>
              <w:t>June 2026</w:t>
            </w:r>
          </w:p>
        </w:tc>
      </w:tr>
      <w:tr>
        <w:tc>
          <w:tcPr>
            <w:tcW w:type="dxa" w:w="1814"/>
          </w:tcPr>
          <w:p>
            <w:r/>
            <w:r>
              <w:rPr>
                <w:b/>
                <w:sz w:val="18"/>
              </w:rPr>
              <w:t>Samuel Ajayi</w:t>
            </w:r>
          </w:p>
        </w:tc>
        <w:tc>
          <w:tcPr>
            <w:tcW w:type="dxa" w:w="2381"/>
          </w:tcPr>
          <w:p>
            <w:r/>
            <w:r>
              <w:rPr>
                <w:sz w:val="18"/>
              </w:rPr>
              <w:t>Co-opted governor</w:t>
            </w:r>
          </w:p>
        </w:tc>
        <w:tc>
          <w:tcPr>
            <w:tcW w:type="dxa" w:w="2041"/>
          </w:tcPr>
          <w:p>
            <w:r/>
            <w:r>
              <w:rPr>
                <w:sz w:val="18"/>
              </w:rPr>
              <w:t>Governing body</w:t>
            </w:r>
          </w:p>
        </w:tc>
        <w:tc>
          <w:tcPr>
            <w:tcW w:type="dxa" w:w="2154"/>
          </w:tcPr>
          <w:p>
            <w:r/>
            <w:r>
              <w:rPr>
                <w:sz w:val="18"/>
              </w:rPr>
              <w:t>2 December 2024 to 2 December 2027 (first appointed 2021)</w:t>
            </w:r>
          </w:p>
        </w:tc>
        <w:tc>
          <w:tcPr>
            <w:tcW w:type="dxa" w:w="1814"/>
          </w:tcPr>
          <w:p>
            <w:r/>
            <w:r>
              <w:rPr>
                <w:sz w:val="18"/>
              </w:rPr>
              <w:t>None declared</w:t>
            </w:r>
          </w:p>
        </w:tc>
        <w:tc>
          <w:tcPr>
            <w:tcW w:type="dxa" w:w="1814"/>
          </w:tcPr>
          <w:p>
            <w:r/>
            <w:r>
              <w:rPr>
                <w:sz w:val="18"/>
              </w:rPr>
              <w:t>None declared</w:t>
            </w:r>
          </w:p>
        </w:tc>
        <w:tc>
          <w:tcPr>
            <w:tcW w:type="dxa" w:w="1814"/>
          </w:tcPr>
          <w:p>
            <w:r/>
            <w:r>
              <w:rPr>
                <w:sz w:val="18"/>
              </w:rPr>
              <w:t>None declared</w:t>
            </w:r>
          </w:p>
        </w:tc>
        <w:tc>
          <w:tcPr>
            <w:tcW w:type="dxa" w:w="1247"/>
          </w:tcPr>
          <w:p>
            <w:r/>
            <w:r>
              <w:rPr>
                <w:sz w:val="18"/>
              </w:rPr>
              <w:t>June 2026</w:t>
            </w:r>
          </w:p>
        </w:tc>
      </w:tr>
      <w:tr>
        <w:tc>
          <w:tcPr>
            <w:tcW w:type="dxa" w:w="1814"/>
            <w:shd w:val="clear" w:color="auto" w:fill="E8F0EC"/>
          </w:tcPr>
          <w:p>
            <w:r/>
            <w:r>
              <w:rPr>
                <w:b/>
                <w:sz w:val="18"/>
              </w:rPr>
              <w:t>Jay Khan</w:t>
            </w:r>
          </w:p>
        </w:tc>
        <w:tc>
          <w:tcPr>
            <w:tcW w:type="dxa" w:w="2381"/>
            <w:shd w:val="clear" w:color="auto" w:fill="E8F0EC"/>
          </w:tcPr>
          <w:p>
            <w:r/>
            <w:r>
              <w:rPr>
                <w:sz w:val="18"/>
              </w:rPr>
              <w:t>Co-opted youth governor</w:t>
            </w:r>
          </w:p>
        </w:tc>
        <w:tc>
          <w:tcPr>
            <w:tcW w:type="dxa" w:w="2041"/>
            <w:shd w:val="clear" w:color="auto" w:fill="E8F0EC"/>
          </w:tcPr>
          <w:p>
            <w:r/>
            <w:r>
              <w:rPr>
                <w:sz w:val="18"/>
              </w:rPr>
              <w:t>Governing body</w:t>
            </w:r>
          </w:p>
        </w:tc>
        <w:tc>
          <w:tcPr>
            <w:tcW w:type="dxa" w:w="2154"/>
            <w:shd w:val="clear" w:color="auto" w:fill="E8F0EC"/>
          </w:tcPr>
          <w:p>
            <w:r/>
            <w:r>
              <w:rPr>
                <w:sz w:val="18"/>
              </w:rPr>
              <w:t>9 July 2025 to 9 July 2028</w:t>
            </w:r>
          </w:p>
        </w:tc>
        <w:tc>
          <w:tcPr>
            <w:tcW w:type="dxa" w:w="1814"/>
            <w:shd w:val="clear" w:color="auto" w:fill="E8F0EC"/>
          </w:tcPr>
          <w:p>
            <w:r/>
            <w:r>
              <w:rPr>
                <w:sz w:val="18"/>
              </w:rPr>
              <w:t>None declared</w:t>
            </w:r>
          </w:p>
        </w:tc>
        <w:tc>
          <w:tcPr>
            <w:tcW w:type="dxa" w:w="1814"/>
            <w:shd w:val="clear" w:color="auto" w:fill="E8F0EC"/>
          </w:tcPr>
          <w:p>
            <w:r/>
            <w:r>
              <w:rPr>
                <w:sz w:val="18"/>
              </w:rPr>
              <w:t>None declared</w:t>
            </w:r>
          </w:p>
        </w:tc>
        <w:tc>
          <w:tcPr>
            <w:tcW w:type="dxa" w:w="1814"/>
            <w:shd w:val="clear" w:color="auto" w:fill="E8F0EC"/>
          </w:tcPr>
          <w:p>
            <w:r/>
            <w:r>
              <w:rPr>
                <w:sz w:val="18"/>
              </w:rPr>
              <w:t>None declared</w:t>
            </w:r>
          </w:p>
        </w:tc>
        <w:tc>
          <w:tcPr>
            <w:tcW w:type="dxa" w:w="1247"/>
            <w:shd w:val="clear" w:color="auto" w:fill="E8F0EC"/>
          </w:tcPr>
          <w:p>
            <w:r/>
            <w:r>
              <w:rPr>
                <w:sz w:val="18"/>
              </w:rPr>
              <w:t>June 2026</w:t>
            </w:r>
          </w:p>
        </w:tc>
      </w:tr>
      <w:tr>
        <w:tc>
          <w:tcPr>
            <w:tcW w:type="dxa" w:w="1814"/>
          </w:tcPr>
          <w:p>
            <w:r/>
            <w:r>
              <w:rPr>
                <w:b/>
                <w:sz w:val="18"/>
              </w:rPr>
              <w:t>Kevin Reynolds</w:t>
            </w:r>
          </w:p>
        </w:tc>
        <w:tc>
          <w:tcPr>
            <w:tcW w:type="dxa" w:w="2381"/>
          </w:tcPr>
          <w:p>
            <w:r/>
            <w:r>
              <w:rPr>
                <w:sz w:val="18"/>
              </w:rPr>
              <w:t>Headteacher (ex officio)</w:t>
            </w:r>
          </w:p>
        </w:tc>
        <w:tc>
          <w:tcPr>
            <w:tcW w:type="dxa" w:w="2041"/>
          </w:tcPr>
          <w:p>
            <w:r/>
            <w:r>
              <w:rPr>
                <w:sz w:val="18"/>
              </w:rPr>
              <w:t>Ex officio</w:t>
            </w:r>
          </w:p>
        </w:tc>
        <w:tc>
          <w:tcPr>
            <w:tcW w:type="dxa" w:w="2154"/>
          </w:tcPr>
          <w:p>
            <w:r/>
            <w:r>
              <w:rPr>
                <w:sz w:val="18"/>
              </w:rPr>
              <w:t>From 18 June 2018</w:t>
            </w:r>
          </w:p>
        </w:tc>
        <w:tc>
          <w:tcPr>
            <w:tcW w:type="dxa" w:w="1814"/>
          </w:tcPr>
          <w:p>
            <w:r/>
            <w:r>
              <w:rPr>
                <w:sz w:val="18"/>
              </w:rPr>
              <w:t>None declared</w:t>
            </w:r>
          </w:p>
        </w:tc>
        <w:tc>
          <w:tcPr>
            <w:tcW w:type="dxa" w:w="1814"/>
          </w:tcPr>
          <w:p>
            <w:r/>
            <w:r>
              <w:rPr>
                <w:sz w:val="18"/>
              </w:rPr>
              <w:t>None declared</w:t>
            </w:r>
          </w:p>
        </w:tc>
        <w:tc>
          <w:tcPr>
            <w:tcW w:type="dxa" w:w="1814"/>
          </w:tcPr>
          <w:p>
            <w:r/>
            <w:r>
              <w:rPr>
                <w:sz w:val="18"/>
              </w:rPr>
              <w:t>None declared</w:t>
            </w:r>
          </w:p>
        </w:tc>
        <w:tc>
          <w:tcPr>
            <w:tcW w:type="dxa" w:w="1247"/>
          </w:tcPr>
          <w:p>
            <w:r/>
            <w:r>
              <w:rPr>
                <w:sz w:val="18"/>
              </w:rPr>
              <w:t>June 2026</w:t>
            </w:r>
          </w:p>
        </w:tc>
      </w:tr>
    </w:tbl>
    <w:p/>
    <w:p>
      <w:pPr>
        <w:spacing w:after="80"/>
      </w:pPr>
      <w:r>
        <w:rPr>
          <w:b/>
          <w:i w:val="0"/>
          <w:color w:val="1F4E3D"/>
          <w:sz w:val="22"/>
        </w:rPr>
        <w:t>Governors who left in the past 12 months</w:t>
      </w:r>
    </w:p>
    <w:tbl>
      <w:tblPr>
        <w:tblStyle w:val="TableGrid"/>
        <w:tblW w:type="auto" w:w="0"/>
        <w:tblLook w:firstColumn="1" w:firstRow="1" w:lastColumn="0" w:lastRow="0" w:noHBand="0" w:noVBand="1" w:val="04A0"/>
      </w:tblPr>
      <w:tblGrid>
        <w:gridCol w:w="1725"/>
        <w:gridCol w:w="1725"/>
        <w:gridCol w:w="1725"/>
        <w:gridCol w:w="1725"/>
        <w:gridCol w:w="1725"/>
        <w:gridCol w:w="1725"/>
        <w:gridCol w:w="1725"/>
        <w:gridCol w:w="1725"/>
      </w:tblGrid>
      <w:tr>
        <w:tc>
          <w:tcPr>
            <w:tcW w:type="dxa" w:w="1814"/>
            <w:shd w:val="clear" w:color="auto" w:fill="1F4E3D"/>
          </w:tcPr>
          <w:p>
            <w:r/>
            <w:r>
              <w:rPr>
                <w:b/>
                <w:color w:val="FFFFFF"/>
                <w:sz w:val="18"/>
              </w:rPr>
              <w:t>Governor</w:t>
            </w:r>
          </w:p>
        </w:tc>
        <w:tc>
          <w:tcPr>
            <w:tcW w:type="dxa" w:w="2381"/>
            <w:shd w:val="clear" w:color="auto" w:fill="1F4E3D"/>
          </w:tcPr>
          <w:p>
            <w:r/>
            <w:r>
              <w:rPr>
                <w:b/>
                <w:color w:val="FFFFFF"/>
                <w:sz w:val="18"/>
              </w:rPr>
              <w:t>Category / role</w:t>
            </w:r>
          </w:p>
        </w:tc>
        <w:tc>
          <w:tcPr>
            <w:tcW w:type="dxa" w:w="2041"/>
            <w:shd w:val="clear" w:color="auto" w:fill="1F4E3D"/>
          </w:tcPr>
          <w:p>
            <w:r/>
            <w:r>
              <w:rPr>
                <w:b/>
                <w:color w:val="FFFFFF"/>
                <w:sz w:val="18"/>
              </w:rPr>
              <w:t>Appointed by</w:t>
            </w:r>
          </w:p>
        </w:tc>
        <w:tc>
          <w:tcPr>
            <w:tcW w:type="dxa" w:w="2154"/>
            <w:shd w:val="clear" w:color="auto" w:fill="1F4E3D"/>
          </w:tcPr>
          <w:p>
            <w:r/>
            <w:r>
              <w:rPr>
                <w:b/>
                <w:color w:val="FFFFFF"/>
                <w:sz w:val="18"/>
              </w:rPr>
              <w:t>Term of office</w:t>
            </w:r>
          </w:p>
        </w:tc>
        <w:tc>
          <w:tcPr>
            <w:tcW w:type="dxa" w:w="1814"/>
            <w:shd w:val="clear" w:color="auto" w:fill="1F4E3D"/>
          </w:tcPr>
          <w:p>
            <w:r/>
            <w:r>
              <w:rPr>
                <w:b/>
                <w:color w:val="FFFFFF"/>
                <w:sz w:val="18"/>
              </w:rPr>
              <w:t>Business and financial interests</w:t>
            </w:r>
          </w:p>
        </w:tc>
        <w:tc>
          <w:tcPr>
            <w:tcW w:type="dxa" w:w="1814"/>
            <w:shd w:val="clear" w:color="auto" w:fill="1F4E3D"/>
          </w:tcPr>
          <w:p>
            <w:r/>
            <w:r>
              <w:rPr>
                <w:b/>
                <w:color w:val="FFFFFF"/>
                <w:sz w:val="18"/>
              </w:rPr>
              <w:t>Governance roles in other schools or trusts</w:t>
            </w:r>
          </w:p>
        </w:tc>
        <w:tc>
          <w:tcPr>
            <w:tcW w:type="dxa" w:w="1814"/>
            <w:shd w:val="clear" w:color="auto" w:fill="1F4E3D"/>
          </w:tcPr>
          <w:p>
            <w:r/>
            <w:r>
              <w:rPr>
                <w:b/>
                <w:color w:val="FFFFFF"/>
                <w:sz w:val="18"/>
              </w:rPr>
              <w:t>Relationships with school staff</w:t>
            </w:r>
          </w:p>
        </w:tc>
        <w:tc>
          <w:tcPr>
            <w:tcW w:type="dxa" w:w="1247"/>
            <w:shd w:val="clear" w:color="auto" w:fill="1F4E3D"/>
          </w:tcPr>
          <w:p>
            <w:r/>
            <w:r>
              <w:rPr>
                <w:b/>
                <w:color w:val="FFFFFF"/>
                <w:sz w:val="18"/>
              </w:rPr>
              <w:t>Date of declaration</w:t>
            </w:r>
          </w:p>
        </w:tc>
      </w:tr>
      <w:tr>
        <w:tc>
          <w:tcPr>
            <w:tcW w:type="dxa" w:w="1814"/>
          </w:tcPr>
          <w:p>
            <w:r/>
            <w:r>
              <w:rPr>
                <w:b/>
                <w:sz w:val="18"/>
              </w:rPr>
              <w:t>Hiba Ali</w:t>
            </w:r>
          </w:p>
        </w:tc>
        <w:tc>
          <w:tcPr>
            <w:tcW w:type="dxa" w:w="2381"/>
          </w:tcPr>
          <w:p>
            <w:r/>
            <w:r>
              <w:rPr>
                <w:sz w:val="18"/>
              </w:rPr>
              <w:t>Staff governor</w:t>
            </w:r>
          </w:p>
        </w:tc>
        <w:tc>
          <w:tcPr>
            <w:tcW w:type="dxa" w:w="2041"/>
          </w:tcPr>
          <w:p>
            <w:r/>
            <w:r>
              <w:rPr>
                <w:sz w:val="18"/>
              </w:rPr>
              <w:t>Elected by staff</w:t>
            </w:r>
          </w:p>
        </w:tc>
        <w:tc>
          <w:tcPr>
            <w:tcW w:type="dxa" w:w="2154"/>
          </w:tcPr>
          <w:p>
            <w:r/>
            <w:r>
              <w:rPr>
                <w:sz w:val="18"/>
              </w:rPr>
              <w:t>2023 to 1 May 2026 (term ended)</w:t>
            </w:r>
          </w:p>
        </w:tc>
        <w:tc>
          <w:tcPr>
            <w:tcW w:type="dxa" w:w="1814"/>
          </w:tcPr>
          <w:p>
            <w:r/>
            <w:r>
              <w:rPr>
                <w:sz w:val="18"/>
              </w:rPr>
              <w:t>None declared</w:t>
            </w:r>
          </w:p>
        </w:tc>
        <w:tc>
          <w:tcPr>
            <w:tcW w:type="dxa" w:w="1814"/>
          </w:tcPr>
          <w:p>
            <w:r/>
            <w:r>
              <w:rPr>
                <w:sz w:val="18"/>
              </w:rPr>
              <w:t>None declared</w:t>
            </w:r>
          </w:p>
        </w:tc>
        <w:tc>
          <w:tcPr>
            <w:tcW w:type="dxa" w:w="1814"/>
          </w:tcPr>
          <w:p>
            <w:r/>
            <w:r>
              <w:rPr>
                <w:sz w:val="18"/>
              </w:rPr>
              <w:t>None declared</w:t>
            </w:r>
          </w:p>
        </w:tc>
        <w:tc>
          <w:tcPr>
            <w:tcW w:type="dxa" w:w="1247"/>
          </w:tcPr>
          <w:p>
            <w:r/>
            <w:r>
              <w:rPr>
                <w:sz w:val="18"/>
              </w:rPr>
              <w:t>June 2026</w:t>
            </w:r>
          </w:p>
        </w:tc>
      </w:tr>
      <w:tr>
        <w:tc>
          <w:tcPr>
            <w:tcW w:type="dxa" w:w="1814"/>
            <w:shd w:val="clear" w:color="auto" w:fill="E8F0EC"/>
          </w:tcPr>
          <w:p>
            <w:r/>
            <w:r>
              <w:rPr>
                <w:b/>
                <w:sz w:val="18"/>
              </w:rPr>
              <w:t>Naima Abdi Abdullahi</w:t>
            </w:r>
          </w:p>
        </w:tc>
        <w:tc>
          <w:tcPr>
            <w:tcW w:type="dxa" w:w="2381"/>
            <w:shd w:val="clear" w:color="auto" w:fill="E8F0EC"/>
          </w:tcPr>
          <w:p>
            <w:r/>
            <w:r>
              <w:rPr>
                <w:sz w:val="18"/>
              </w:rPr>
              <w:t>Parent governor</w:t>
            </w:r>
          </w:p>
        </w:tc>
        <w:tc>
          <w:tcPr>
            <w:tcW w:type="dxa" w:w="2041"/>
            <w:shd w:val="clear" w:color="auto" w:fill="E8F0EC"/>
          </w:tcPr>
          <w:p>
            <w:r/>
            <w:r>
              <w:rPr>
                <w:sz w:val="18"/>
              </w:rPr>
              <w:t>Elected by parents</w:t>
            </w:r>
          </w:p>
        </w:tc>
        <w:tc>
          <w:tcPr>
            <w:tcW w:type="dxa" w:w="2154"/>
            <w:shd w:val="clear" w:color="auto" w:fill="E8F0EC"/>
          </w:tcPr>
          <w:p>
            <w:r/>
            <w:r>
              <w:rPr>
                <w:sz w:val="18"/>
              </w:rPr>
              <w:t>2024 to December 2025 (stepped down)</w:t>
            </w:r>
          </w:p>
        </w:tc>
        <w:tc>
          <w:tcPr>
            <w:tcW w:type="dxa" w:w="1814"/>
            <w:shd w:val="clear" w:color="auto" w:fill="E8F0EC"/>
          </w:tcPr>
          <w:p>
            <w:r/>
            <w:r>
              <w:rPr>
                <w:sz w:val="18"/>
              </w:rPr>
              <w:t>Not recorded on the June 2026 register, as she had left</w:t>
            </w:r>
          </w:p>
        </w:tc>
        <w:tc>
          <w:tcPr>
            <w:tcW w:type="dxa" w:w="1814"/>
            <w:shd w:val="clear" w:color="auto" w:fill="E8F0EC"/>
          </w:tcPr>
          <w:p>
            <w:r/>
            <w:r>
              <w:rPr>
                <w:sz w:val="18"/>
              </w:rPr>
              <w:t>Not recorded</w:t>
            </w:r>
          </w:p>
        </w:tc>
        <w:tc>
          <w:tcPr>
            <w:tcW w:type="dxa" w:w="1814"/>
            <w:shd w:val="clear" w:color="auto" w:fill="E8F0EC"/>
          </w:tcPr>
          <w:p>
            <w:r/>
            <w:r>
              <w:rPr>
                <w:sz w:val="18"/>
              </w:rPr>
              <w:t>Not recorded</w:t>
            </w:r>
          </w:p>
        </w:tc>
        <w:tc>
          <w:tcPr>
            <w:tcW w:type="dxa" w:w="1247"/>
            <w:shd w:val="clear" w:color="auto" w:fill="E8F0EC"/>
          </w:tcPr>
          <w:p>
            <w:r/>
            <w:r>
              <w:rPr>
                <w:sz w:val="18"/>
              </w:rPr>
              <w:t>—</w:t>
            </w:r>
          </w:p>
        </w:tc>
      </w:tr>
    </w:tbl>
    <w:p/>
    <w:p>
      <w:pPr>
        <w:spacing w:after="80"/>
      </w:pPr>
      <w:r>
        <w:rPr>
          <w:b w:val="0"/>
          <w:i/>
          <w:sz w:val="18"/>
        </w:rPr>
        <w:t>Declarations shown are those made for the register approved by the full governing board on 9 July 2026. Annual declarations for 2026–27 are being collected by the governance professional and this register will be updated when they are returned.</w:t>
      </w:r>
    </w:p>
    <w:p>
      <w:pPr>
        <w:spacing w:after="120"/>
      </w:pPr>
      <w:r>
        <w:rPr>
          <w:b w:val="0"/>
          <w:i/>
          <w:sz w:val="18"/>
        </w:rPr>
        <w:t>Governance professional: Gemma Sakamoto, Judicium Education.   Last updated: October 2026.   Next review: on receipt of 2026–27 declarations, and at least annually.</w:t>
      </w:r>
    </w:p>
    <w:sectPr w:rsidR="00FC693F" w:rsidRPr="0006063C" w:rsidSect="00034616">
      <w:pgSz w:w="15840" w:h="12240" w:orient="landscape"/>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